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65" w:rsidRDefault="00CC5965" w:rsidP="00CC5965">
      <w:pPr>
        <w:pStyle w:val="Title"/>
        <w:ind w:left="-720"/>
        <w:rPr>
          <w:rFonts w:asciiTheme="minorHAnsi" w:hAnsiTheme="minorHAnsi" w:cstheme="minorHAnsi"/>
          <w:sz w:val="28"/>
          <w:szCs w:val="28"/>
        </w:rPr>
      </w:pPr>
      <w:r w:rsidRPr="007C2241">
        <w:rPr>
          <w:rFonts w:asciiTheme="minorHAnsi" w:hAnsiTheme="minorHAnsi" w:cstheme="minorHAnsi"/>
          <w:sz w:val="28"/>
          <w:szCs w:val="28"/>
        </w:rPr>
        <w:t>EXPRESSIONS OF INTEREST</w:t>
      </w:r>
    </w:p>
    <w:p w:rsidR="007C2241" w:rsidRPr="007C2241" w:rsidRDefault="007C2241" w:rsidP="00CC5965">
      <w:pPr>
        <w:pStyle w:val="Title"/>
        <w:ind w:left="-72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CC5965" w:rsidRPr="007C2241" w:rsidRDefault="00CC5965" w:rsidP="00CC5965">
      <w:pPr>
        <w:jc w:val="center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7C2241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Collection and Processing of Reusable Household Furniture </w:t>
      </w:r>
      <w:r w:rsidRPr="007C2241">
        <w:rPr>
          <w:rFonts w:asciiTheme="minorHAnsi" w:hAnsiTheme="minorHAnsi" w:cstheme="minorHAnsi"/>
          <w:b/>
          <w:sz w:val="28"/>
          <w:szCs w:val="28"/>
          <w:lang w:eastAsia="en-GB"/>
        </w:rPr>
        <w:br/>
        <w:t>and Furnishings and other reusable wastes</w:t>
      </w:r>
    </w:p>
    <w:p w:rsidR="00CC5965" w:rsidRPr="00EE5554" w:rsidRDefault="00CC5965" w:rsidP="00CC5965">
      <w:pPr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:rsidR="00CC5965" w:rsidRDefault="00CC5965" w:rsidP="00CC5965">
      <w:pPr>
        <w:rPr>
          <w:rFonts w:ascii="Calibri" w:hAnsi="Calibri"/>
          <w:b/>
          <w:sz w:val="24"/>
          <w:szCs w:val="24"/>
        </w:rPr>
      </w:pPr>
    </w:p>
    <w:p w:rsidR="00CC5965" w:rsidRPr="00FB5F80" w:rsidRDefault="00CC5965" w:rsidP="00CC5965">
      <w:pPr>
        <w:rPr>
          <w:rFonts w:asciiTheme="minorHAnsi" w:hAnsiTheme="minorHAnsi" w:cstheme="minorHAnsi"/>
          <w:sz w:val="24"/>
          <w:szCs w:val="24"/>
        </w:rPr>
      </w:pPr>
      <w:r w:rsidRPr="00FB5F80">
        <w:rPr>
          <w:rFonts w:asciiTheme="minorHAnsi" w:hAnsiTheme="minorHAnsi" w:cstheme="minorHAnsi"/>
          <w:sz w:val="24"/>
          <w:szCs w:val="24"/>
        </w:rPr>
        <w:t xml:space="preserve">Please fully complete the below questionnaire. </w:t>
      </w:r>
    </w:p>
    <w:p w:rsidR="00CC5965" w:rsidRDefault="00CC5965" w:rsidP="00CC596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5F80">
        <w:rPr>
          <w:rFonts w:asciiTheme="minorHAnsi" w:hAnsiTheme="minorHAnsi" w:cstheme="minorHAnsi"/>
          <w:sz w:val="24"/>
          <w:szCs w:val="24"/>
        </w:rPr>
        <w:t xml:space="preserve">Any questions that have not been responded to will be given a zero score. </w:t>
      </w:r>
    </w:p>
    <w:p w:rsidR="00CC5965" w:rsidRDefault="00CC5965" w:rsidP="00CC596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5F80">
        <w:rPr>
          <w:rFonts w:asciiTheme="minorHAnsi" w:hAnsiTheme="minorHAnsi" w:cstheme="minorHAnsi"/>
          <w:sz w:val="24"/>
          <w:szCs w:val="24"/>
        </w:rPr>
        <w:t>If you are providing attachments as your response, th</w:t>
      </w:r>
      <w:r>
        <w:rPr>
          <w:rFonts w:asciiTheme="minorHAnsi" w:hAnsiTheme="minorHAnsi" w:cstheme="minorHAnsi"/>
          <w:sz w:val="24"/>
          <w:szCs w:val="24"/>
        </w:rPr>
        <w:t>ese must be clearly referenced.</w:t>
      </w:r>
    </w:p>
    <w:p w:rsidR="00CC5965" w:rsidRDefault="00CC5965" w:rsidP="00CC596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5F80">
        <w:rPr>
          <w:rFonts w:asciiTheme="minorHAnsi" w:hAnsiTheme="minorHAnsi" w:cstheme="minorHAnsi"/>
          <w:sz w:val="24"/>
          <w:szCs w:val="24"/>
        </w:rPr>
        <w:t>If attachments are not referenced, they will be excluded from the scoring.</w:t>
      </w:r>
    </w:p>
    <w:p w:rsidR="00CC5965" w:rsidRPr="00FB5F80" w:rsidRDefault="00CC5965" w:rsidP="00CC596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B5F80">
        <w:rPr>
          <w:rFonts w:asciiTheme="minorHAnsi" w:hAnsiTheme="minorHAnsi" w:cstheme="minorHAnsi"/>
          <w:sz w:val="24"/>
          <w:szCs w:val="24"/>
        </w:rPr>
        <w:t>Please ensure that your response is specific to this agreement and its requirements.</w:t>
      </w:r>
    </w:p>
    <w:p w:rsidR="00CC5965" w:rsidRP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P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  <w:r w:rsidRPr="00CC5965">
        <w:rPr>
          <w:rFonts w:asciiTheme="minorHAnsi" w:hAnsiTheme="minorHAnsi" w:cstheme="minorHAnsi"/>
          <w:sz w:val="24"/>
          <w:szCs w:val="24"/>
        </w:rPr>
        <w:t>Please complete a separate form for each individual Lot.</w:t>
      </w:r>
    </w:p>
    <w:p w:rsidR="00CC5965" w:rsidRP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Pr="00CC5965" w:rsidRDefault="00CC5965" w:rsidP="00CC596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C5965">
        <w:rPr>
          <w:rFonts w:asciiTheme="minorHAnsi" w:hAnsiTheme="minorHAnsi" w:cstheme="minorHAnsi"/>
          <w:sz w:val="24"/>
          <w:szCs w:val="24"/>
          <w:lang w:val="en-US"/>
        </w:rPr>
        <w:t xml:space="preserve">Completed forms should be returned to </w:t>
      </w:r>
      <w:hyperlink r:id="rId5" w:history="1">
        <w:r w:rsidRPr="00CC5965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recycling@midlothian.gov.uk</w:t>
        </w:r>
      </w:hyperlink>
      <w:r w:rsidRPr="00CC5965">
        <w:rPr>
          <w:rFonts w:asciiTheme="minorHAnsi" w:hAnsiTheme="minorHAnsi" w:cstheme="minorHAnsi"/>
          <w:sz w:val="24"/>
          <w:szCs w:val="24"/>
          <w:lang w:val="en-US"/>
        </w:rPr>
        <w:t xml:space="preserve"> by 12 noon on Friday 11 February 2022.</w:t>
      </w:r>
    </w:p>
    <w:p w:rsidR="00CC5965" w:rsidRPr="00FB5F80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Expression of Interest is for:</w:t>
      </w:r>
    </w:p>
    <w:p w:rsidR="00CC5965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7"/>
      </w:tblGrid>
      <w:tr w:rsidR="00CC5965" w:rsidTr="00943B64">
        <w:tc>
          <w:tcPr>
            <w:tcW w:w="6232" w:type="dxa"/>
            <w:shd w:val="clear" w:color="auto" w:fill="BFBFBF" w:themeFill="background1" w:themeFillShade="BF"/>
          </w:tcPr>
          <w:p w:rsidR="00CC5965" w:rsidRDefault="00CC5965" w:rsidP="00943B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Lot Number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CC5965" w:rsidRDefault="00CC5965" w:rsidP="00943B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/ No (please detail)</w:t>
            </w:r>
          </w:p>
        </w:tc>
      </w:tr>
      <w:tr w:rsidR="00CC5965" w:rsidTr="00943B64">
        <w:tc>
          <w:tcPr>
            <w:tcW w:w="6232" w:type="dxa"/>
          </w:tcPr>
          <w:p w:rsidR="00CC5965" w:rsidRPr="00446780" w:rsidRDefault="00CC5965" w:rsidP="00943B64">
            <w:pPr>
              <w:tabs>
                <w:tab w:val="right" w:pos="9000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446780">
              <w:rPr>
                <w:rFonts w:asciiTheme="minorHAnsi" w:hAnsiTheme="minorHAnsi" w:cstheme="minorHAnsi"/>
                <w:sz w:val="24"/>
                <w:szCs w:val="24"/>
              </w:rPr>
              <w:t>Lot 1: Furniture</w:t>
            </w:r>
          </w:p>
        </w:tc>
        <w:tc>
          <w:tcPr>
            <w:tcW w:w="2787" w:type="dxa"/>
          </w:tcPr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965" w:rsidTr="00943B64">
        <w:tc>
          <w:tcPr>
            <w:tcW w:w="6232" w:type="dxa"/>
          </w:tcPr>
          <w:p w:rsidR="00CC5965" w:rsidRPr="00446780" w:rsidRDefault="00CC5965" w:rsidP="00943B64">
            <w:pPr>
              <w:tabs>
                <w:tab w:val="right" w:pos="9000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446780">
              <w:rPr>
                <w:rFonts w:asciiTheme="minorHAnsi" w:hAnsiTheme="minorHAnsi" w:cstheme="minorHAnsi"/>
                <w:sz w:val="24"/>
                <w:szCs w:val="24"/>
              </w:rPr>
              <w:t>Lot 2: Furnishings and other household items</w:t>
            </w:r>
          </w:p>
        </w:tc>
        <w:tc>
          <w:tcPr>
            <w:tcW w:w="2787" w:type="dxa"/>
          </w:tcPr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965" w:rsidTr="00943B64">
        <w:tc>
          <w:tcPr>
            <w:tcW w:w="6232" w:type="dxa"/>
          </w:tcPr>
          <w:p w:rsidR="00CC5965" w:rsidRPr="00446780" w:rsidRDefault="00CC5965" w:rsidP="00943B64">
            <w:pPr>
              <w:tabs>
                <w:tab w:val="right" w:pos="9000"/>
              </w:tabs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446780">
              <w:rPr>
                <w:rFonts w:asciiTheme="minorHAnsi" w:hAnsiTheme="minorHAnsi" w:cstheme="minorHAnsi"/>
                <w:sz w:val="24"/>
                <w:szCs w:val="24"/>
              </w:rPr>
              <w:t xml:space="preserve">Lot 3: Other items </w:t>
            </w:r>
          </w:p>
        </w:tc>
        <w:tc>
          <w:tcPr>
            <w:tcW w:w="2787" w:type="dxa"/>
          </w:tcPr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5965" w:rsidRPr="001D3D82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Pr="001D3D82" w:rsidRDefault="00CC5965" w:rsidP="00CC5965">
      <w:pPr>
        <w:rPr>
          <w:rFonts w:asciiTheme="minorHAnsi" w:hAnsiTheme="minorHAnsi" w:cstheme="minorHAnsi"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 xml:space="preserve">Key contact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3"/>
      </w:tblGrid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Organisation name: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Named manager: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Post description and responsibilities: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Prior experience: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Telephone Number: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Operational base address: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c>
          <w:tcPr>
            <w:tcW w:w="4526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If applicable, registered office address:</w:t>
            </w:r>
          </w:p>
        </w:tc>
        <w:tc>
          <w:tcPr>
            <w:tcW w:w="4493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Default="00CC5965" w:rsidP="00CC5965">
      <w:pPr>
        <w:ind w:right="-1673"/>
        <w:rPr>
          <w:rFonts w:asciiTheme="minorHAnsi" w:hAnsiTheme="minorHAnsi" w:cstheme="minorHAnsi"/>
          <w:b/>
          <w:color w:val="7AB800"/>
          <w:sz w:val="24"/>
          <w:szCs w:val="24"/>
        </w:rPr>
      </w:pPr>
    </w:p>
    <w:p w:rsidR="00CC5965" w:rsidRDefault="00CC5965">
      <w:pPr>
        <w:spacing w:after="160" w:line="259" w:lineRule="auto"/>
        <w:rPr>
          <w:rFonts w:asciiTheme="minorHAnsi" w:hAnsiTheme="minorHAnsi" w:cstheme="minorHAnsi"/>
          <w:b/>
          <w:color w:val="7AB800"/>
          <w:sz w:val="24"/>
          <w:szCs w:val="24"/>
        </w:rPr>
      </w:pPr>
      <w:r>
        <w:rPr>
          <w:rFonts w:asciiTheme="minorHAnsi" w:hAnsiTheme="minorHAnsi" w:cstheme="minorHAnsi"/>
          <w:b/>
          <w:color w:val="7AB800"/>
          <w:sz w:val="24"/>
          <w:szCs w:val="24"/>
        </w:rPr>
        <w:br w:type="page"/>
      </w:r>
    </w:p>
    <w:p w:rsidR="00CC5965" w:rsidRPr="001D3D82" w:rsidRDefault="00CC5965" w:rsidP="00CC5965">
      <w:pPr>
        <w:ind w:right="-1673"/>
        <w:rPr>
          <w:rFonts w:asciiTheme="minorHAnsi" w:hAnsiTheme="minorHAnsi" w:cstheme="minorHAnsi"/>
          <w:b/>
          <w:color w:val="7AB800"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>Registration and accreditation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330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Charity number: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2034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Revol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e Certification details </w:t>
            </w:r>
          </w:p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</w:p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1D3D82" w:rsidRDefault="00CC5965" w:rsidP="00943B6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videncing showing compliance with </w:t>
            </w:r>
            <w:r w:rsidRPr="001D3D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Health &amp; Safety legislation;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D3D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Trading Standards; Waste Legislation; Insurances (Public, Employee and Vehicle); Governance documentation.</w:t>
            </w: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30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Relevant experience in offering similar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>Waste collection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347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Waste type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/s</w:t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 requested: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Waste Acceptance Criteria: </w:t>
            </w:r>
          </w:p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8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proofErr w:type="spellEnd"/>
            <w:proofErr w:type="gramEnd"/>
            <w:r w:rsidRPr="001D3D82">
              <w:rPr>
                <w:rFonts w:asciiTheme="minorHAnsi" w:hAnsiTheme="minorHAnsi" w:cstheme="minorHAnsi"/>
                <w:sz w:val="24"/>
                <w:szCs w:val="24"/>
              </w:rPr>
              <w:t xml:space="preserve">: soft furnishing to have fire safety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label;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complete sets of cutlery only.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ind w:right="58"/>
              <w:rPr>
                <w:rFonts w:asciiTheme="minorHAnsi" w:eastAsia="Calibri" w:hAnsiTheme="minorHAnsi" w:cstheme="minorHAnsi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Explain how you will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assess that</w:t>
            </w: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individual </w:t>
            </w: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>items are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>suitable for reuse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pStyle w:val="Default"/>
              <w:widowControl w:val="0"/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</w:pPr>
            <w:r w:rsidRPr="001D3D82"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  <w:t xml:space="preserve">Provide details of the Health and Safety approach 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  <w:t>you will apply</w:t>
            </w:r>
            <w:r w:rsidRPr="001D3D82"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  <w:t xml:space="preserve"> throughout the provision of the services. I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  <w:t>nclude any</w:t>
            </w:r>
            <w:r w:rsidRPr="001D3D82">
              <w:rPr>
                <w:rFonts w:asciiTheme="minorHAnsi" w:eastAsia="Calibri" w:hAnsiTheme="minorHAnsi" w:cstheme="minorHAnsi"/>
                <w:color w:val="auto"/>
                <w:szCs w:val="24"/>
                <w:lang w:val="en-GB"/>
              </w:rPr>
              <w:t xml:space="preserve"> Risk Assessments, particularly with regard to manual handling.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Explain your offloading and waste sorting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arrangements.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ind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ed Waste Carrier information or </w:t>
            </w:r>
            <w:r w:rsidRPr="001D3D82">
              <w:rPr>
                <w:rFonts w:asciiTheme="minorHAnsi" w:hAnsiTheme="minorHAnsi" w:cstheme="minorHAnsi"/>
                <w:sz w:val="24"/>
                <w:szCs w:val="24"/>
              </w:rPr>
              <w:t>details of any exception.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Detail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your 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intended collection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arrangements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proofErr w:type="gramEnd"/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br/>
            </w:r>
            <w:proofErr w:type="spellStart"/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eg</w:t>
            </w:r>
            <w:proofErr w:type="spellEnd"/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requency, day, time of collections.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ind w:right="-16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Sub-Contractors: </w:t>
            </w:r>
          </w:p>
          <w:p w:rsidR="00CC5965" w:rsidRDefault="00CC5965" w:rsidP="00943B64">
            <w:pPr>
              <w:ind w:right="-16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Please list any sub-Service </w:t>
            </w:r>
          </w:p>
          <w:p w:rsidR="00CC5965" w:rsidRDefault="00CC5965" w:rsidP="00943B64">
            <w:pPr>
              <w:ind w:right="-16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Providers that will be used and specify which </w:t>
            </w:r>
          </w:p>
          <w:p w:rsidR="00CC5965" w:rsidRPr="001D3D82" w:rsidRDefault="00CC5965" w:rsidP="00943B64">
            <w:pPr>
              <w:ind w:right="-16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>aspects of the service they are to deliver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Pr="001D3D82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>Refurbishment and reuse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>Address of premises for sorting / selling items.</w:t>
            </w:r>
          </w:p>
        </w:tc>
        <w:tc>
          <w:tcPr>
            <w:tcW w:w="4517" w:type="dxa"/>
            <w:shd w:val="clear" w:color="auto" w:fill="auto"/>
          </w:tcPr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1259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Details</w:t>
            </w: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any steps taken to refurbish</w:t>
            </w:r>
          </w:p>
          <w:p w:rsidR="00CC5965" w:rsidRPr="001D3D82" w:rsidRDefault="00CC5965" w:rsidP="00943B6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items</w:t>
            </w:r>
            <w:proofErr w:type="gram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/ prepare items for re-sale.</w:t>
            </w:r>
          </w:p>
        </w:tc>
        <w:tc>
          <w:tcPr>
            <w:tcW w:w="4517" w:type="dxa"/>
            <w:shd w:val="clear" w:color="auto" w:fill="auto"/>
          </w:tcPr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Please provide site licence number (SEPA) </w:t>
            </w:r>
          </w:p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for the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site/s used for the 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disposal of waste</w:t>
            </w:r>
          </w:p>
          <w:p w:rsidR="00CC5965" w:rsidRPr="001D3D82" w:rsidRDefault="00CC5965" w:rsidP="00943B6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not</w:t>
            </w:r>
            <w:proofErr w:type="gramEnd"/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suitable for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reuse.</w:t>
            </w:r>
          </w:p>
        </w:tc>
        <w:tc>
          <w:tcPr>
            <w:tcW w:w="4517" w:type="dxa"/>
            <w:shd w:val="clear" w:color="auto" w:fill="auto"/>
          </w:tcPr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C5965" w:rsidRPr="00446780" w:rsidRDefault="00CC5965" w:rsidP="00943B64">
            <w:pPr>
              <w:ind w:right="-16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5965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>Contract management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159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Confirm how waste data will be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r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ecorded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1D3D8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and reported to the Authority.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Default="00CC5965" w:rsidP="00943B64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Detail the steps intended to be taken to help promote your service.</w:t>
            </w:r>
          </w:p>
          <w:p w:rsidR="00CC5965" w:rsidRPr="001D3D82" w:rsidRDefault="00CC5965" w:rsidP="00943B64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517" w:type="dxa"/>
            <w:shd w:val="clear" w:color="auto" w:fill="auto"/>
          </w:tcPr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 xml:space="preserve">Added benefits </w:t>
      </w:r>
    </w:p>
    <w:p w:rsidR="00CC5965" w:rsidRPr="001D3D82" w:rsidRDefault="00CC5965" w:rsidP="00CC5965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Please outline how you intend to offer Community Benefits. </w:t>
      </w:r>
      <w:r w:rsidRPr="001D3D82">
        <w:rPr>
          <w:rFonts w:asciiTheme="minorHAnsi" w:eastAsia="Calibri" w:hAnsiTheme="minorHAnsi" w:cstheme="minorHAnsi"/>
          <w:sz w:val="24"/>
          <w:szCs w:val="24"/>
        </w:rPr>
        <w:t>Your response should detail how you intend to deliver any proposals made, including the timescales, and how progress will be tracked and reported to the Authority.</w:t>
      </w:r>
    </w:p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3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5965" w:rsidRPr="001D3D82" w:rsidRDefault="00CC5965" w:rsidP="00943B6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t>Detail the Community Benefits you propose to offer.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Default="00CC596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CC5965" w:rsidRPr="001D3D82" w:rsidRDefault="00CC5965" w:rsidP="00CC5965">
      <w:pPr>
        <w:pStyle w:val="ListParagraph"/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CC5965" w:rsidRPr="001D3D82" w:rsidRDefault="00CC5965" w:rsidP="00CC5965">
      <w:pPr>
        <w:pStyle w:val="ListParagraph"/>
        <w:numPr>
          <w:ilvl w:val="0"/>
          <w:numId w:val="4"/>
        </w:num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D3D82">
        <w:rPr>
          <w:rFonts w:asciiTheme="minorHAnsi" w:hAnsiTheme="minorHAnsi" w:cstheme="minorHAnsi"/>
          <w:b/>
          <w:sz w:val="24"/>
          <w:szCs w:val="24"/>
        </w:rPr>
        <w:t>Fair Working Practices (not scored)</w:t>
      </w:r>
    </w:p>
    <w:p w:rsidR="00CC5965" w:rsidRPr="001D3D82" w:rsidRDefault="00CC5965" w:rsidP="00CC596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The Public Sector in Scotland is committed to the delivery of high quality public services, and recognises that this is critically dependent on a workforce that is well rewarded, well-motivated, well-led, has access to appropriate opportunities for training and skills development, are diverse and is engaged in decision making.</w:t>
      </w:r>
    </w:p>
    <w:p w:rsidR="00CC5965" w:rsidRPr="001D3D82" w:rsidRDefault="00CC5965" w:rsidP="00CC596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</w:p>
    <w:p w:rsidR="00CC5965" w:rsidRPr="001D3D82" w:rsidRDefault="00CC5965" w:rsidP="00CC596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These factors are also important for workforce recruitment and retention, and thus continuity of service. Public Bodies in Scotland are adopting fair work practices, which include: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a fair and equal pay policy that includes a commitment to supporting the Living Wage, including, for example being a Living Wage Accredited Employer;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clear managerial responsibility to nurture talent and help individuals fulfil their potential, including for example, a strong commitment to Modern Apprenticeships and the development of Scotland’s young workforce;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promoting equality of opportunity and developing a workforce which reflects the population of Scotland in terms of characteristics such as age, gender, religion or belief, race, sexual orientation and disability;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support for learning and development;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stability of employment and hours of work, and avoiding exploitative employment practices, including for example no inappropriate use of zero hours contracts;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flexible working (including for example practices such as flexi-time and career breaks) and support for family friendly working and wider work life balance;</w:t>
      </w:r>
    </w:p>
    <w:p w:rsidR="00CC5965" w:rsidRPr="001D3D82" w:rsidRDefault="00CC5965" w:rsidP="00CC596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1D3D82">
        <w:rPr>
          <w:rFonts w:asciiTheme="minorHAnsi" w:eastAsia="Calibri" w:hAnsiTheme="minorHAnsi" w:cstheme="minorHAnsi"/>
          <w:sz w:val="24"/>
          <w:szCs w:val="24"/>
        </w:rPr>
        <w:t>support</w:t>
      </w:r>
      <w:proofErr w:type="gramEnd"/>
      <w:r w:rsidRPr="001D3D82">
        <w:rPr>
          <w:rFonts w:asciiTheme="minorHAnsi" w:eastAsia="Calibri" w:hAnsiTheme="minorHAnsi" w:cstheme="minorHAnsi"/>
          <w:sz w:val="24"/>
          <w:szCs w:val="24"/>
        </w:rPr>
        <w:t xml:space="preserve"> progressive workforce engagement, for example Trade Union recognition and representation where possible, otherwise alternative arrangements to give staff an effective voice.</w:t>
      </w:r>
    </w:p>
    <w:p w:rsidR="00CC5965" w:rsidRPr="001D3D82" w:rsidRDefault="00CC5965" w:rsidP="00CC5965">
      <w:pPr>
        <w:autoSpaceDE w:val="0"/>
        <w:autoSpaceDN w:val="0"/>
        <w:adjustRightInd w:val="0"/>
        <w:ind w:left="117"/>
        <w:rPr>
          <w:rFonts w:asciiTheme="minorHAnsi" w:eastAsia="Calibri" w:hAnsiTheme="minorHAnsi" w:cstheme="minorHAnsi"/>
          <w:sz w:val="24"/>
          <w:szCs w:val="24"/>
        </w:rPr>
      </w:pPr>
    </w:p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In order to ensure the highest standards of service quality we expect Service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D3D82">
        <w:rPr>
          <w:rFonts w:asciiTheme="minorHAnsi" w:eastAsia="Calibri" w:hAnsiTheme="minorHAnsi" w:cstheme="minorHAnsi"/>
          <w:sz w:val="24"/>
          <w:szCs w:val="24"/>
        </w:rPr>
        <w:t>Providers to take a similarly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D3D82">
        <w:rPr>
          <w:rFonts w:asciiTheme="minorHAnsi" w:eastAsia="Calibri" w:hAnsiTheme="minorHAnsi" w:cstheme="minorHAnsi"/>
          <w:sz w:val="24"/>
          <w:szCs w:val="24"/>
        </w:rPr>
        <w:t>positive approach to fair work practices as part of a fair and equitable employment and reward package.</w:t>
      </w:r>
    </w:p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:rsidR="00CC5965" w:rsidRPr="001D3D82" w:rsidRDefault="00CC5965" w:rsidP="00CC5965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Answers need not be constrained to, or be reflective of any of examples given alongside this question.</w:t>
      </w:r>
    </w:p>
    <w:p w:rsidR="00CC5965" w:rsidRPr="001D3D82" w:rsidRDefault="00CC5965" w:rsidP="00CC5965">
      <w:pPr>
        <w:autoSpaceDE w:val="0"/>
        <w:autoSpaceDN w:val="0"/>
        <w:adjustRightInd w:val="0"/>
        <w:spacing w:after="240"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>Good answers will reassure evaluators that your company takes a positive approach to rewarding staff at a level that helps tackle inequality (e.g. through a commitment to paying at least the Living Wage); improves the wider diversity of your staff; provide skills and training, and opportunities to use skills which help staff fulfil their potential; avoids exploitative employment practices (e.g. in relation to matters such as the inappropriate use of zero-hours contracts); takes the engagement and empowerment of staff engaged on this contract seriously, including having arrangements in place to ensure trade union representation where possible; otherwise alternative arrangements to give staff an effective voice and that your company will demonstrate organisational integrity with regards to the delivery of those policies.</w:t>
      </w:r>
    </w:p>
    <w:p w:rsidR="00CC5965" w:rsidRDefault="00CC5965" w:rsidP="00CC5965">
      <w:pPr>
        <w:spacing w:after="200" w:line="276" w:lineRule="auto"/>
        <w:ind w:right="-1673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1D3D82">
        <w:rPr>
          <w:rFonts w:asciiTheme="minorHAnsi" w:eastAsia="Calibri" w:hAnsiTheme="minorHAnsi" w:cstheme="minorHAnsi"/>
          <w:sz w:val="24"/>
          <w:szCs w:val="24"/>
        </w:rPr>
        <w:t xml:space="preserve">This reassurance can include a variety of practices which demonstrate your approach to fair </w:t>
      </w:r>
    </w:p>
    <w:p w:rsidR="00CC5965" w:rsidRDefault="00CC5965" w:rsidP="00CC5965">
      <w:pPr>
        <w:spacing w:after="200" w:line="276" w:lineRule="auto"/>
        <w:ind w:right="-1673"/>
        <w:contextualSpacing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1D3D82">
        <w:rPr>
          <w:rFonts w:asciiTheme="minorHAnsi" w:eastAsia="Calibri" w:hAnsiTheme="minorHAnsi" w:cstheme="minorHAnsi"/>
          <w:sz w:val="24"/>
          <w:szCs w:val="24"/>
        </w:rPr>
        <w:t>work</w:t>
      </w:r>
      <w:proofErr w:type="gramEnd"/>
      <w:r w:rsidRPr="001D3D82">
        <w:rPr>
          <w:rFonts w:asciiTheme="minorHAnsi" w:eastAsia="Calibri" w:hAnsiTheme="minorHAnsi" w:cstheme="minorHAnsi"/>
          <w:sz w:val="24"/>
          <w:szCs w:val="24"/>
        </w:rPr>
        <w:t xml:space="preserve"> and should be tangible and measurable examples that can be monitored and reported</w:t>
      </w:r>
    </w:p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D3D82">
        <w:rPr>
          <w:rFonts w:asciiTheme="minorHAnsi" w:eastAsia="Calibri" w:hAnsiTheme="minorHAnsi" w:cstheme="minorHAnsi"/>
          <w:sz w:val="24"/>
          <w:szCs w:val="24"/>
        </w:rPr>
        <w:t>during</w:t>
      </w:r>
      <w:proofErr w:type="gramEnd"/>
      <w:r w:rsidRPr="001D3D82">
        <w:rPr>
          <w:rFonts w:asciiTheme="minorHAnsi" w:eastAsia="Calibri" w:hAnsiTheme="minorHAnsi" w:cstheme="minorHAnsi"/>
          <w:sz w:val="24"/>
          <w:szCs w:val="24"/>
        </w:rPr>
        <w:t xml:space="preserve"> contract management procedures.</w:t>
      </w:r>
    </w:p>
    <w:p w:rsidR="00CC5965" w:rsidRPr="001D3D82" w:rsidRDefault="00CC5965" w:rsidP="00CC5965">
      <w:pPr>
        <w:spacing w:after="200" w:line="276" w:lineRule="auto"/>
        <w:ind w:right="-1673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7"/>
      </w:tblGrid>
      <w:tr w:rsidR="00CC5965" w:rsidRPr="001D3D82" w:rsidTr="00943B64">
        <w:trPr>
          <w:trHeight w:val="312"/>
        </w:trPr>
        <w:tc>
          <w:tcPr>
            <w:tcW w:w="4551" w:type="dxa"/>
            <w:shd w:val="clear" w:color="auto" w:fill="D9D9D9"/>
          </w:tcPr>
          <w:p w:rsidR="00CC5965" w:rsidRPr="001D3D82" w:rsidRDefault="00CC5965" w:rsidP="00943B64">
            <w:pPr>
              <w:autoSpaceDE w:val="0"/>
              <w:autoSpaceDN w:val="0"/>
              <w:adjustRightInd w:val="0"/>
              <w:spacing w:after="24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D3D82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Please describe how you will commit to fair work practices for workers (including any agency or sub-Service Provider workers) engaged in the delivery of this agreement.</w:t>
            </w:r>
          </w:p>
        </w:tc>
        <w:tc>
          <w:tcPr>
            <w:tcW w:w="4517" w:type="dxa"/>
            <w:shd w:val="clear" w:color="auto" w:fill="auto"/>
          </w:tcPr>
          <w:p w:rsidR="00CC5965" w:rsidRPr="001D3D82" w:rsidRDefault="00CC5965" w:rsidP="00943B64">
            <w:pPr>
              <w:ind w:right="-1673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</w:tr>
    </w:tbl>
    <w:p w:rsidR="00CC5965" w:rsidRDefault="00CC5965" w:rsidP="00CC5965">
      <w:pPr>
        <w:rPr>
          <w:lang w:val="en-US"/>
        </w:rPr>
      </w:pPr>
    </w:p>
    <w:p w:rsidR="00CC5965" w:rsidRDefault="00CC5965" w:rsidP="00CC596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C5965" w:rsidRPr="006A3C49" w:rsidRDefault="00CC5965" w:rsidP="00CC5965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TECHNICAL RESPONSE</w:t>
      </w:r>
    </w:p>
    <w:p w:rsidR="00CC5965" w:rsidRDefault="00CC5965" w:rsidP="00CC596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scoring ratio</w:t>
      </w:r>
      <w:r w:rsidRPr="00DB58B8">
        <w:rPr>
          <w:rFonts w:asciiTheme="minorHAnsi" w:hAnsiTheme="minorHAnsi"/>
          <w:sz w:val="22"/>
        </w:rPr>
        <w:t xml:space="preserve"> will be used to evaluate </w:t>
      </w:r>
      <w:r>
        <w:rPr>
          <w:rFonts w:asciiTheme="minorHAnsi" w:hAnsiTheme="minorHAnsi"/>
          <w:sz w:val="22"/>
        </w:rPr>
        <w:t>the responses. Lots</w:t>
      </w:r>
      <w:r w:rsidRPr="00DB58B8">
        <w:rPr>
          <w:rFonts w:asciiTheme="minorHAnsi" w:hAnsiTheme="minorHAnsi"/>
          <w:sz w:val="22"/>
        </w:rPr>
        <w:t xml:space="preserve"> will be assessed on the basis of a ratio of</w:t>
      </w:r>
      <w:r>
        <w:rPr>
          <w:rFonts w:asciiTheme="minorHAnsi" w:hAnsiTheme="minorHAnsi"/>
          <w:sz w:val="22"/>
        </w:rPr>
        <w:t>:</w:t>
      </w:r>
    </w:p>
    <w:p w:rsidR="00CC5965" w:rsidRPr="00CF20F2" w:rsidRDefault="00CC5965" w:rsidP="00CC5965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40"/>
        <w:gridCol w:w="4097"/>
        <w:gridCol w:w="1558"/>
      </w:tblGrid>
      <w:tr w:rsidR="00CC5965" w:rsidRPr="00CB3A3E" w:rsidTr="00943B64">
        <w:trPr>
          <w:trHeight w:val="638"/>
        </w:trPr>
        <w:tc>
          <w:tcPr>
            <w:tcW w:w="1524" w:type="dxa"/>
            <w:shd w:val="solid" w:color="auto" w:fill="B8CCE4"/>
            <w:vAlign w:val="center"/>
          </w:tcPr>
          <w:p w:rsidR="00CC5965" w:rsidRPr="00CB3A3E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3A3E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1840" w:type="dxa"/>
            <w:shd w:val="solid" w:color="auto" w:fill="B8CCE4"/>
            <w:vAlign w:val="center"/>
          </w:tcPr>
          <w:p w:rsidR="00CC5965" w:rsidRPr="00CB3A3E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3A3E">
              <w:rPr>
                <w:rFonts w:ascii="Calibri" w:hAnsi="Calibri"/>
                <w:b/>
                <w:sz w:val="22"/>
                <w:szCs w:val="22"/>
              </w:rPr>
              <w:t>Weighting</w:t>
            </w:r>
          </w:p>
        </w:tc>
        <w:tc>
          <w:tcPr>
            <w:tcW w:w="4097" w:type="dxa"/>
            <w:shd w:val="solid" w:color="auto" w:fill="B8CCE4"/>
            <w:vAlign w:val="center"/>
          </w:tcPr>
          <w:p w:rsidR="00CC5965" w:rsidRPr="00CB3A3E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3A3E">
              <w:rPr>
                <w:rFonts w:ascii="Calibri" w:hAnsi="Calibri"/>
                <w:b/>
                <w:sz w:val="22"/>
                <w:szCs w:val="22"/>
              </w:rPr>
              <w:t>Sub-Criteria</w:t>
            </w:r>
          </w:p>
        </w:tc>
        <w:tc>
          <w:tcPr>
            <w:tcW w:w="1558" w:type="dxa"/>
            <w:shd w:val="solid" w:color="auto" w:fill="B8CCE4"/>
            <w:vAlign w:val="center"/>
          </w:tcPr>
          <w:p w:rsidR="00CC5965" w:rsidRPr="00CB3A3E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3A3E">
              <w:rPr>
                <w:rFonts w:ascii="Calibri" w:hAnsi="Calibri"/>
                <w:b/>
                <w:sz w:val="22"/>
                <w:szCs w:val="22"/>
              </w:rPr>
              <w:t>Sub-Weighting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 w:val="restart"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D4930">
              <w:rPr>
                <w:rFonts w:ascii="Calibri" w:hAnsi="Calibri"/>
                <w:b/>
                <w:sz w:val="22"/>
                <w:szCs w:val="22"/>
              </w:rPr>
              <w:t xml:space="preserve">Quality -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CD4930">
              <w:rPr>
                <w:rFonts w:ascii="Calibri" w:hAnsi="Calibri"/>
                <w:b/>
                <w:sz w:val="22"/>
                <w:szCs w:val="22"/>
              </w:rPr>
              <w:t>0%</w:t>
            </w:r>
          </w:p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>Key Contact Details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>Registration and accreditation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>Waste Collection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 xml:space="preserve">Refurbishment and Reuse 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 xml:space="preserve">Contract Management 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3ADA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3ADA">
              <w:rPr>
                <w:rFonts w:asciiTheme="minorHAnsi" w:hAnsiTheme="minorHAnsi" w:cstheme="minorHAnsi"/>
                <w:sz w:val="22"/>
                <w:szCs w:val="22"/>
              </w:rPr>
              <w:t xml:space="preserve">Added Benefits 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</w:tr>
      <w:tr w:rsidR="00CC5965" w:rsidRPr="00CB3A3E" w:rsidTr="00943B64">
        <w:tc>
          <w:tcPr>
            <w:tcW w:w="3364" w:type="dxa"/>
            <w:gridSpan w:val="2"/>
            <w:vMerge/>
            <w:vAlign w:val="center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97" w:type="dxa"/>
          </w:tcPr>
          <w:p w:rsidR="00CC5965" w:rsidRPr="00A54603" w:rsidRDefault="00CC5965" w:rsidP="00CC596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A54603">
              <w:rPr>
                <w:rFonts w:ascii="Calibri" w:hAnsi="Calibri"/>
                <w:sz w:val="22"/>
                <w:szCs w:val="22"/>
              </w:rPr>
              <w:t>Fair Working Practices</w:t>
            </w:r>
          </w:p>
        </w:tc>
        <w:tc>
          <w:tcPr>
            <w:tcW w:w="1558" w:type="dxa"/>
          </w:tcPr>
          <w:p w:rsidR="00CC5965" w:rsidRPr="00CD4930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CD4930">
              <w:rPr>
                <w:rFonts w:ascii="Calibri" w:hAnsi="Calibri"/>
                <w:sz w:val="22"/>
                <w:szCs w:val="22"/>
              </w:rPr>
              <w:t>Not scored</w:t>
            </w:r>
          </w:p>
        </w:tc>
      </w:tr>
      <w:tr w:rsidR="00CC5965" w:rsidRPr="00CB3A3E" w:rsidTr="00943B64">
        <w:tc>
          <w:tcPr>
            <w:tcW w:w="3364" w:type="dxa"/>
            <w:gridSpan w:val="2"/>
            <w:vAlign w:val="center"/>
          </w:tcPr>
          <w:p w:rsidR="00CC5965" w:rsidRPr="00CD4930" w:rsidRDefault="00CC5965" w:rsidP="00943B64">
            <w:pPr>
              <w:spacing w:before="240" w:after="240"/>
              <w:rPr>
                <w:rFonts w:ascii="Calibri" w:hAnsi="Calibri"/>
                <w:b/>
                <w:sz w:val="22"/>
                <w:szCs w:val="22"/>
              </w:rPr>
            </w:pPr>
            <w:r w:rsidRPr="00CD4930">
              <w:rPr>
                <w:rFonts w:ascii="Calibri" w:hAnsi="Calibri"/>
                <w:b/>
                <w:sz w:val="22"/>
                <w:szCs w:val="22"/>
              </w:rPr>
              <w:t>Price - 0%</w:t>
            </w:r>
          </w:p>
        </w:tc>
        <w:tc>
          <w:tcPr>
            <w:tcW w:w="5655" w:type="dxa"/>
            <w:gridSpan w:val="2"/>
            <w:shd w:val="pct12" w:color="auto" w:fill="auto"/>
          </w:tcPr>
          <w:p w:rsidR="00CC5965" w:rsidRPr="00CD4930" w:rsidRDefault="00CC5965" w:rsidP="00943B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C5965" w:rsidRPr="00DE61A2" w:rsidRDefault="00CC5965" w:rsidP="00CC5965">
      <w:pPr>
        <w:rPr>
          <w:rFonts w:ascii="Calibri" w:hAnsi="Calibri"/>
          <w:sz w:val="22"/>
          <w:szCs w:val="22"/>
        </w:rPr>
      </w:pPr>
    </w:p>
    <w:p w:rsidR="00CC5965" w:rsidRDefault="00CC5965" w:rsidP="00CC5965">
      <w:pPr>
        <w:rPr>
          <w:rFonts w:ascii="Calibri" w:hAnsi="Calibri"/>
          <w:sz w:val="22"/>
          <w:szCs w:val="22"/>
        </w:rPr>
      </w:pPr>
    </w:p>
    <w:p w:rsidR="00CC5965" w:rsidRDefault="00CC5965" w:rsidP="00CC5965">
      <w:pPr>
        <w:pStyle w:val="Heading1"/>
        <w:numPr>
          <w:ilvl w:val="0"/>
          <w:numId w:val="0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SCORING METHODOLOGY</w:t>
      </w:r>
    </w:p>
    <w:p w:rsidR="00CC5965" w:rsidRDefault="00CC5965" w:rsidP="00CC5965">
      <w:pPr>
        <w:rPr>
          <w:lang w:val="en-US"/>
        </w:rPr>
      </w:pPr>
    </w:p>
    <w:p w:rsidR="00CC5965" w:rsidRPr="00CD4930" w:rsidRDefault="00CC5965" w:rsidP="00CC5965">
      <w:pPr>
        <w:rPr>
          <w:rFonts w:ascii="Calibri" w:hAnsi="Calibri"/>
          <w:sz w:val="22"/>
          <w:szCs w:val="22"/>
        </w:rPr>
      </w:pPr>
      <w:r w:rsidRPr="00CD4930">
        <w:rPr>
          <w:rFonts w:ascii="Calibri" w:hAnsi="Calibri"/>
          <w:sz w:val="22"/>
          <w:szCs w:val="22"/>
        </w:rPr>
        <w:t>Responses will be scored using the methodology provided in</w:t>
      </w:r>
      <w:r>
        <w:rPr>
          <w:rFonts w:ascii="Calibri" w:hAnsi="Calibri"/>
          <w:sz w:val="22"/>
          <w:szCs w:val="22"/>
        </w:rPr>
        <w:t xml:space="preserve"> the table below</w:t>
      </w:r>
      <w:r w:rsidRPr="00CD4930">
        <w:rPr>
          <w:rFonts w:ascii="Calibri" w:hAnsi="Calibri"/>
          <w:sz w:val="22"/>
          <w:szCs w:val="22"/>
        </w:rPr>
        <w:t>.</w:t>
      </w:r>
    </w:p>
    <w:p w:rsidR="00CC5965" w:rsidRPr="00213231" w:rsidRDefault="00CC5965" w:rsidP="00CC5965">
      <w:pPr>
        <w:rPr>
          <w:b/>
          <w:lang w:val="en-US"/>
        </w:rPr>
      </w:pPr>
    </w:p>
    <w:p w:rsidR="00CC5965" w:rsidRPr="007A5C58" w:rsidRDefault="00CC5965" w:rsidP="00CC5965">
      <w:pPr>
        <w:rPr>
          <w:rFonts w:ascii="Calibri" w:hAnsi="Calibri"/>
          <w:sz w:val="22"/>
          <w:szCs w:val="22"/>
        </w:rPr>
      </w:pPr>
      <w:r w:rsidRPr="007A5C58">
        <w:rPr>
          <w:rFonts w:ascii="Calibri" w:hAnsi="Calibri"/>
          <w:sz w:val="22"/>
          <w:szCs w:val="22"/>
        </w:rPr>
        <w:t xml:space="preserve">The “Total Score” for each criteria will comprise of the score awarded (0 to 4) multiplied by the weighting allocated to each criteria. </w:t>
      </w:r>
    </w:p>
    <w:p w:rsidR="00CC5965" w:rsidRPr="00353C15" w:rsidRDefault="00CC5965" w:rsidP="00CC5965">
      <w:pPr>
        <w:rPr>
          <w:rFonts w:ascii="Calibri" w:hAnsi="Calibri"/>
          <w:sz w:val="24"/>
        </w:rPr>
      </w:pPr>
    </w:p>
    <w:p w:rsidR="00CC5965" w:rsidRPr="00353C15" w:rsidRDefault="00CC5965" w:rsidP="00CC5965">
      <w:pPr>
        <w:rPr>
          <w:rFonts w:ascii="Calibri" w:hAnsi="Calibri"/>
          <w:b/>
          <w:sz w:val="24"/>
          <w:u w:val="single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000"/>
        <w:gridCol w:w="6804"/>
      </w:tblGrid>
      <w:tr w:rsidR="00CC5965" w:rsidRPr="00353C15" w:rsidTr="00943B6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2058AF" w:rsidRDefault="00CC5965" w:rsidP="00943B64">
            <w:pPr>
              <w:rPr>
                <w:rFonts w:ascii="Calibri" w:hAnsi="Calibri"/>
                <w:b/>
                <w:bCs/>
                <w:sz w:val="24"/>
              </w:rPr>
            </w:pPr>
            <w:r w:rsidRPr="002058AF">
              <w:rPr>
                <w:rFonts w:ascii="Calibri" w:hAnsi="Calibri"/>
                <w:b/>
                <w:bCs/>
                <w:sz w:val="24"/>
              </w:rPr>
              <w:t>4    Excellent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002512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002512">
              <w:rPr>
                <w:rFonts w:ascii="Calibri" w:hAnsi="Calibri"/>
                <w:sz w:val="22"/>
                <w:szCs w:val="22"/>
              </w:rPr>
              <w:t>Response is completely relevant and excellent overall. The response is comprehensive, unambiguous and demonstrates a thorough understanding of the requirement and provides details of how the requirement will be met in full.</w:t>
            </w:r>
          </w:p>
        </w:tc>
      </w:tr>
      <w:tr w:rsidR="00CC5965" w:rsidRPr="00353C15" w:rsidTr="00943B6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2058AF" w:rsidRDefault="00CC5965" w:rsidP="00943B64">
            <w:pPr>
              <w:rPr>
                <w:rFonts w:ascii="Calibri" w:hAnsi="Calibri"/>
                <w:b/>
                <w:bCs/>
                <w:sz w:val="24"/>
              </w:rPr>
            </w:pPr>
            <w:r w:rsidRPr="002058AF">
              <w:rPr>
                <w:rFonts w:ascii="Calibri" w:hAnsi="Calibri"/>
                <w:b/>
                <w:bCs/>
                <w:sz w:val="24"/>
              </w:rPr>
              <w:t>3     Good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002512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002512">
              <w:rPr>
                <w:rFonts w:ascii="Calibri" w:hAnsi="Calibri"/>
                <w:sz w:val="22"/>
                <w:szCs w:val="22"/>
              </w:rPr>
              <w:t>Response is relevant and good. The response is sufficiently detailed to demonstrate a good understanding and provides details on how the requirements will be fulfilled.</w:t>
            </w:r>
          </w:p>
        </w:tc>
      </w:tr>
      <w:tr w:rsidR="00CC5965" w:rsidRPr="00353C15" w:rsidTr="00943B6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2058AF" w:rsidRDefault="00CC5965" w:rsidP="00943B64">
            <w:pPr>
              <w:rPr>
                <w:rFonts w:ascii="Calibri" w:hAnsi="Calibri"/>
                <w:b/>
                <w:bCs/>
                <w:sz w:val="24"/>
              </w:rPr>
            </w:pPr>
            <w:r w:rsidRPr="002058AF">
              <w:rPr>
                <w:rFonts w:ascii="Calibri" w:hAnsi="Calibri"/>
                <w:b/>
                <w:bCs/>
                <w:sz w:val="24"/>
              </w:rPr>
              <w:t>2     Acceptable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002512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002512">
              <w:rPr>
                <w:rFonts w:ascii="Calibri" w:hAnsi="Calibri"/>
                <w:sz w:val="22"/>
                <w:szCs w:val="22"/>
              </w:rPr>
              <w:t xml:space="preserve">Response is relevant and acceptable. The response addresses a broad understanding of the requirement but may lack details on how the requirement will be fulfilled in certain areas. </w:t>
            </w:r>
          </w:p>
        </w:tc>
      </w:tr>
      <w:tr w:rsidR="00CC5965" w:rsidRPr="00353C15" w:rsidTr="00943B64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2058AF" w:rsidRDefault="00CC5965" w:rsidP="00943B64">
            <w:pPr>
              <w:rPr>
                <w:rFonts w:ascii="Calibri" w:hAnsi="Calibri"/>
                <w:b/>
                <w:bCs/>
                <w:sz w:val="24"/>
              </w:rPr>
            </w:pPr>
            <w:r w:rsidRPr="002058AF">
              <w:rPr>
                <w:rFonts w:ascii="Calibri" w:hAnsi="Calibri"/>
                <w:b/>
                <w:bCs/>
                <w:sz w:val="24"/>
              </w:rPr>
              <w:t>1     Poor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002512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002512">
              <w:rPr>
                <w:rFonts w:ascii="Calibri" w:hAnsi="Calibri"/>
                <w:sz w:val="22"/>
                <w:szCs w:val="22"/>
              </w:rPr>
              <w:t>Response is partially relevant but generally poor.  The response addresses some elements of the requirement but contains insufficient/limited detail or explanation to demonstrate how the requirement will be fulfilled.</w:t>
            </w:r>
          </w:p>
        </w:tc>
      </w:tr>
      <w:tr w:rsidR="00CC5965" w:rsidRPr="00353C15" w:rsidTr="00943B64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2058AF" w:rsidRDefault="00CC5965" w:rsidP="00943B64">
            <w:pPr>
              <w:rPr>
                <w:rFonts w:ascii="Calibri" w:hAnsi="Calibri"/>
                <w:b/>
                <w:bCs/>
                <w:sz w:val="24"/>
              </w:rPr>
            </w:pPr>
            <w:r w:rsidRPr="002058AF">
              <w:rPr>
                <w:rFonts w:ascii="Calibri" w:hAnsi="Calibri"/>
                <w:b/>
                <w:bCs/>
                <w:sz w:val="24"/>
              </w:rPr>
              <w:t>0  Unacceptable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65" w:rsidRPr="00002512" w:rsidRDefault="00CC5965" w:rsidP="00943B64">
            <w:pPr>
              <w:rPr>
                <w:rFonts w:ascii="Calibri" w:hAnsi="Calibri"/>
                <w:sz w:val="22"/>
                <w:szCs w:val="22"/>
              </w:rPr>
            </w:pPr>
            <w:r w:rsidRPr="00002512">
              <w:rPr>
                <w:rFonts w:ascii="Calibri" w:hAnsi="Calibri"/>
                <w:sz w:val="22"/>
                <w:szCs w:val="22"/>
              </w:rPr>
              <w:t>Nil or inadequate response. Fails to demonstrate an ability to meet the requirement.</w:t>
            </w:r>
          </w:p>
        </w:tc>
      </w:tr>
    </w:tbl>
    <w:p w:rsidR="00CC5965" w:rsidRDefault="00CC5965" w:rsidP="00CC5965">
      <w:pPr>
        <w:pStyle w:val="Heading1"/>
        <w:numPr>
          <w:ilvl w:val="0"/>
          <w:numId w:val="0"/>
        </w:numPr>
        <w:ind w:left="792"/>
        <w:jc w:val="both"/>
        <w:rPr>
          <w:rFonts w:ascii="Calibri" w:hAnsi="Calibri"/>
        </w:rPr>
      </w:pPr>
    </w:p>
    <w:p w:rsidR="00CC5965" w:rsidRDefault="00CC5965" w:rsidP="00CC5965">
      <w:pPr>
        <w:rPr>
          <w:lang w:val="en-US"/>
        </w:rPr>
      </w:pPr>
    </w:p>
    <w:p w:rsidR="00CC5965" w:rsidRPr="00213231" w:rsidRDefault="00CC5965" w:rsidP="00CC596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13231">
        <w:rPr>
          <w:rFonts w:asciiTheme="minorHAnsi" w:hAnsiTheme="minorHAnsi" w:cstheme="minorHAnsi"/>
          <w:sz w:val="22"/>
          <w:szCs w:val="22"/>
          <w:lang w:val="en-US"/>
        </w:rPr>
        <w:t xml:space="preserve">For an informal discussion on your intention to express an interest in reusing waste from </w:t>
      </w:r>
      <w:proofErr w:type="spellStart"/>
      <w:r w:rsidRPr="00213231">
        <w:rPr>
          <w:rFonts w:asciiTheme="minorHAnsi" w:hAnsiTheme="minorHAnsi" w:cstheme="minorHAnsi"/>
          <w:sz w:val="22"/>
          <w:szCs w:val="22"/>
          <w:lang w:val="en-US"/>
        </w:rPr>
        <w:t>Stobhill</w:t>
      </w:r>
      <w:proofErr w:type="spellEnd"/>
      <w:r w:rsidRPr="00213231">
        <w:rPr>
          <w:rFonts w:asciiTheme="minorHAnsi" w:hAnsiTheme="minorHAnsi" w:cstheme="minorHAnsi"/>
          <w:sz w:val="22"/>
          <w:szCs w:val="22"/>
          <w:lang w:val="en-US"/>
        </w:rPr>
        <w:t xml:space="preserve"> Recycling Centre, please call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Shellie Radford, Community Waste Officer on 0131 561 5360 </w:t>
      </w:r>
      <w:r w:rsidRPr="00213231">
        <w:rPr>
          <w:rFonts w:asciiTheme="minorHAnsi" w:hAnsiTheme="minorHAnsi" w:cstheme="minorHAnsi"/>
          <w:sz w:val="22"/>
          <w:szCs w:val="22"/>
          <w:lang w:val="en-US"/>
        </w:rPr>
        <w:t xml:space="preserve">or email </w:t>
      </w:r>
      <w:hyperlink r:id="rId6" w:history="1">
        <w:r w:rsidRPr="0021323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recycling@midlothian.gov.uk</w:t>
        </w:r>
      </w:hyperlink>
    </w:p>
    <w:p w:rsidR="00CC5965" w:rsidRPr="00213231" w:rsidRDefault="00CC5965" w:rsidP="00CC596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C5965" w:rsidRPr="00213231" w:rsidRDefault="00CC5965" w:rsidP="00CC596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13231">
        <w:rPr>
          <w:rFonts w:asciiTheme="minorHAnsi" w:hAnsiTheme="minorHAnsi" w:cstheme="minorHAnsi"/>
          <w:sz w:val="22"/>
          <w:szCs w:val="22"/>
          <w:lang w:val="en-US"/>
        </w:rPr>
        <w:t xml:space="preserve">Completed forms should be returned to </w:t>
      </w:r>
      <w:hyperlink r:id="rId7" w:history="1">
        <w:r w:rsidRPr="0021323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recycling@midlothian.gov.uk</w:t>
        </w:r>
      </w:hyperlink>
      <w:r w:rsidRPr="00213231">
        <w:rPr>
          <w:rFonts w:asciiTheme="minorHAnsi" w:hAnsiTheme="minorHAnsi" w:cstheme="minorHAnsi"/>
          <w:sz w:val="22"/>
          <w:szCs w:val="22"/>
          <w:lang w:val="en-US"/>
        </w:rPr>
        <w:t xml:space="preserve"> by 12 noon on Friday 11 February 2022.</w:t>
      </w:r>
    </w:p>
    <w:p w:rsidR="00E91675" w:rsidRDefault="00E91675"/>
    <w:sectPr w:rsidR="00E91675" w:rsidSect="00170575">
      <w:headerReference w:type="default" r:id="rId8"/>
      <w:footerReference w:type="default" r:id="rId9"/>
      <w:pgSz w:w="11909" w:h="16834" w:code="9"/>
      <w:pgMar w:top="850" w:right="1440" w:bottom="5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CA" w:rsidRDefault="007C2241">
    <w:pPr>
      <w:pStyle w:val="Footer"/>
      <w:tabs>
        <w:tab w:val="clear" w:pos="4320"/>
        <w:tab w:val="center" w:pos="4820"/>
      </w:tabs>
      <w:ind w:right="360"/>
    </w:pPr>
    <w:r>
      <w:rPr>
        <w:sz w:val="22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CA" w:rsidRDefault="007C2241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sz w:val="24"/>
      </w:rPr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514"/>
    <w:multiLevelType w:val="hybridMultilevel"/>
    <w:tmpl w:val="9C8E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34C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1DE6BF9"/>
    <w:multiLevelType w:val="hybridMultilevel"/>
    <w:tmpl w:val="3E964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1C3"/>
    <w:multiLevelType w:val="hybridMultilevel"/>
    <w:tmpl w:val="82346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13C5"/>
    <w:multiLevelType w:val="hybridMultilevel"/>
    <w:tmpl w:val="3A46FDD4"/>
    <w:lvl w:ilvl="0" w:tplc="EB7EC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512D"/>
    <w:multiLevelType w:val="multilevel"/>
    <w:tmpl w:val="85E62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5"/>
    <w:rsid w:val="007C2241"/>
    <w:rsid w:val="00CC5965"/>
    <w:rsid w:val="00E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C813"/>
  <w15:chartTrackingRefBased/>
  <w15:docId w15:val="{CC276117-4E02-4A3C-98B0-5E548739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C5965"/>
    <w:pPr>
      <w:keepNext/>
      <w:numPr>
        <w:numId w:val="1"/>
      </w:numPr>
      <w:outlineLvl w:val="0"/>
    </w:pPr>
    <w:rPr>
      <w:b/>
      <w:snapToGrid w:val="0"/>
      <w:sz w:val="24"/>
      <w:lang w:val="en-US"/>
    </w:rPr>
  </w:style>
  <w:style w:type="paragraph" w:styleId="Heading2">
    <w:name w:val="heading 2"/>
    <w:aliases w:val="PARA2,Headline 2,nmhd2,Outline2"/>
    <w:basedOn w:val="Normal"/>
    <w:next w:val="Normal"/>
    <w:link w:val="Heading2Char"/>
    <w:qFormat/>
    <w:rsid w:val="00CC5965"/>
    <w:pPr>
      <w:keepNext/>
      <w:numPr>
        <w:ilvl w:val="1"/>
        <w:numId w:val="1"/>
      </w:numPr>
      <w:outlineLvl w:val="1"/>
    </w:pPr>
    <w:rPr>
      <w:b/>
      <w:snapToGrid w:val="0"/>
      <w:sz w:val="24"/>
      <w:lang w:val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CC5965"/>
    <w:pPr>
      <w:keepNext/>
      <w:numPr>
        <w:ilvl w:val="2"/>
        <w:numId w:val="1"/>
      </w:numPr>
      <w:jc w:val="center"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CC5965"/>
    <w:pPr>
      <w:keepNext/>
      <w:numPr>
        <w:ilvl w:val="3"/>
        <w:numId w:val="1"/>
      </w:numPr>
      <w:outlineLvl w:val="3"/>
    </w:pPr>
    <w:rPr>
      <w:snapToGrid w:val="0"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C5965"/>
    <w:pPr>
      <w:keepNext/>
      <w:numPr>
        <w:ilvl w:val="4"/>
        <w:numId w:val="1"/>
      </w:numPr>
      <w:outlineLvl w:val="4"/>
    </w:pPr>
    <w:rPr>
      <w:snapToGrid w:val="0"/>
      <w:sz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C5965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CC5965"/>
    <w:pPr>
      <w:keepNext/>
      <w:numPr>
        <w:ilvl w:val="6"/>
        <w:numId w:val="1"/>
      </w:numPr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C5965"/>
    <w:pPr>
      <w:keepNext/>
      <w:widowControl w:val="0"/>
      <w:numPr>
        <w:ilvl w:val="7"/>
        <w:numId w:val="1"/>
      </w:numPr>
      <w:jc w:val="center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link w:val="Heading9Char"/>
    <w:qFormat/>
    <w:rsid w:val="00CC5965"/>
    <w:pPr>
      <w:keepNext/>
      <w:numPr>
        <w:ilvl w:val="8"/>
        <w:numId w:val="1"/>
      </w:numPr>
      <w:tabs>
        <w:tab w:val="left" w:pos="4253"/>
      </w:tabs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CC5965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5965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5965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C596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CC596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596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CC5965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CC5965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CC596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CC5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5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6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C5965"/>
    <w:rPr>
      <w:color w:val="0000FF"/>
      <w:u w:val="single"/>
    </w:rPr>
  </w:style>
  <w:style w:type="paragraph" w:customStyle="1" w:styleId="Default">
    <w:name w:val="Default"/>
    <w:rsid w:val="00CC5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CC5965"/>
    <w:pPr>
      <w:ind w:left="720"/>
    </w:pPr>
  </w:style>
  <w:style w:type="table" w:styleId="TableGrid">
    <w:name w:val="Table Grid"/>
    <w:basedOn w:val="TableNormal"/>
    <w:uiPriority w:val="59"/>
    <w:rsid w:val="00CC59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C5965"/>
    <w:pPr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CC5965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ycling@mid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ycling@midlothian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ycling@midlothian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1224</Words>
  <Characters>6981</Characters>
  <Application>Microsoft Office Word</Application>
  <DocSecurity>0</DocSecurity>
  <Lines>58</Lines>
  <Paragraphs>16</Paragraphs>
  <ScaleCrop>false</ScaleCrop>
  <Company>Midlothian Council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Neely</dc:creator>
  <cp:keywords/>
  <dc:description/>
  <cp:lastModifiedBy>Clare Neely</cp:lastModifiedBy>
  <cp:revision>2</cp:revision>
  <dcterms:created xsi:type="dcterms:W3CDTF">2022-01-18T09:03:00Z</dcterms:created>
  <dcterms:modified xsi:type="dcterms:W3CDTF">2022-01-18T09:06:00Z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1442432028</vt:i4>
  </property>
  <property fmtid="{D5CDD505-2E9C-101B-9397-08002B2CF9AE}" pid="3" name="_NewReviewCycle">
    <vt:lpwstr/>
  </property>
  <property fmtid="{D5CDD505-2E9C-101B-9397-08002B2CF9AE}" pid="4" name="_EmailSubject">
    <vt:lpwstr>Advertise "Expression of Interest" in reuse cabin</vt:lpwstr>
  </property>
  <property fmtid="{D5CDD505-2E9C-101B-9397-08002B2CF9AE}" pid="5" name="_AuthorEmail">
    <vt:lpwstr>Clare.Neely@midlothian.gov.uk</vt:lpwstr>
  </property>
  <property fmtid="{D5CDD505-2E9C-101B-9397-08002B2CF9AE}" pid="6" name="_AuthorEmailDisplayName">
    <vt:lpwstr>Clare Neely</vt:lpwstr>
  </property>
</Properties>
</file>